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A1E" w:rsidRPr="00AD60DC" w:rsidRDefault="006B3A1E" w:rsidP="006B3A1E">
      <w:pPr>
        <w:pStyle w:val="tytu1NieuzywaneTytuy"/>
        <w:rPr>
          <w:rStyle w:val="Bold"/>
          <w:rFonts w:asciiTheme="minorHAnsi" w:hAnsiTheme="minorHAnsi"/>
          <w:b/>
          <w:bCs/>
        </w:rPr>
      </w:pPr>
      <w:bookmarkStart w:id="0" w:name="_GoBack"/>
      <w:bookmarkEnd w:id="0"/>
      <w:r w:rsidRPr="00AD60DC">
        <w:rPr>
          <w:rStyle w:val="Bold"/>
          <w:rFonts w:asciiTheme="minorHAnsi" w:hAnsiTheme="minorHAnsi"/>
        </w:rPr>
        <w:t>Przedmiotowe zasady oceniania – wymagania na poszczególne oceny szkolne</w:t>
      </w:r>
    </w:p>
    <w:p w:rsidR="006B3A1E" w:rsidRPr="00AD60DC" w:rsidRDefault="006B3A1E" w:rsidP="006B3A1E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  <w:lang w:val="en-GB"/>
        </w:rPr>
      </w:pPr>
      <w:r w:rsidRPr="00AD60DC">
        <w:rPr>
          <w:rStyle w:val="Bold"/>
          <w:rFonts w:asciiTheme="minorHAnsi" w:hAnsiTheme="minorHAnsi"/>
          <w:color w:val="154194"/>
          <w:lang w:val="en-GB"/>
        </w:rPr>
        <w:t>Klasa 7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362"/>
        <w:gridCol w:w="2361"/>
        <w:gridCol w:w="2361"/>
        <w:gridCol w:w="2362"/>
        <w:gridCol w:w="2398"/>
      </w:tblGrid>
      <w:tr w:rsidR="006B3A1E" w:rsidRPr="00AD60DC" w:rsidTr="009A1407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Nr i temat lekcji</w:t>
            </w:r>
          </w:p>
        </w:tc>
        <w:tc>
          <w:tcPr>
            <w:tcW w:w="4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bCs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Wymagania podstawowe</w:t>
            </w:r>
          </w:p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Uczeń:</w:t>
            </w:r>
          </w:p>
        </w:tc>
        <w:tc>
          <w:tcPr>
            <w:tcW w:w="71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bCs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Wymagania ponadpodstawowe</w:t>
            </w:r>
          </w:p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Uczeń:</w:t>
            </w:r>
          </w:p>
        </w:tc>
      </w:tr>
      <w:tr w:rsidR="006B3A1E" w:rsidRPr="00AD60DC" w:rsidTr="009A1407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3A1E" w:rsidRPr="00AD60DC" w:rsidRDefault="006B3A1E" w:rsidP="009A1407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dopuszczająca</w:t>
            </w:r>
          </w:p>
        </w:tc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dostateczna</w:t>
            </w:r>
          </w:p>
        </w:tc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dobra</w:t>
            </w:r>
          </w:p>
        </w:tc>
        <w:tc>
          <w:tcPr>
            <w:tcW w:w="2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bardzo dobra</w:t>
            </w:r>
          </w:p>
        </w:tc>
        <w:tc>
          <w:tcPr>
            <w:tcW w:w="2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celująca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Style w:val="boldasia"/>
                <w:rFonts w:asciiTheme="minorHAnsi" w:hAnsiTheme="minorHAnsi"/>
                <w:caps/>
              </w:rPr>
              <w:t>DZIAŁ 1. Hierarchiczna budowa organizmu człowieka. Skóra. Układ ruchu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1. Organizm człowieka jako zintegrowana całość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poziomy organizacji ciała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narządów wchodzących w skład poszczególnych układów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poszczególnych układów narządów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rodzaje tkanek i lokalizuje je w ciele człowieka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hierarchiczną budowę organizmu człowieka na wybranym przykładzie układu narządów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budowę, funkcje i współdziałanie poszczególnych układów narządów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dostrzega znaczenie współdziałania narządów i układów narządów w prawidłowym funkcjonowaniu organizmów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2. Budowa i funkcje skóry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budowy skóry i wskazuje je na planszy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jaka jest rola naskórka i skóry właściwej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charakteryzuje warstwy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termoregulacyjną funkcję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planuje i przeprowadza doświadczenie, w którym rozróżnia obszary skóry bardziej wrażliwe na dotyk (opuszki palców) i mniej </w:t>
            </w:r>
            <w:r w:rsidRPr="00AD60DC">
              <w:rPr>
                <w:rFonts w:asciiTheme="minorHAnsi" w:hAnsiTheme="minorHAnsi"/>
              </w:rPr>
              <w:lastRenderedPageBreak/>
              <w:t>wrażliwe na dotyk (wierzch dłoni, przedramię)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związek budowy elementów skóry z pełnionymi przez skórę funkcjami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argumenty świadczące o tym, że skóra jednocześnie oddziela organizm od środowiska i go z nim łączy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3. Choroby skóry oraz zasady ich profilaktyki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podstawowe zasady higieny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skóry i opisuje ich objawy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stan zdrowej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profilaktykę wybranych chorób skóry (grzybice skóry, czerniak)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konsultacji lekarskiej w przypadku rozpoznania niepokojących zmian na skórze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pozytywne i negatywne skutki opalania się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zmiany skórne określane jako trądzik młodzieńczy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związek nadmiernej ekspozycji na promieniowanie UV ze zwiększonym ryzykiem rozwoju choroby nowotworowej skóry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4. Budowa i funkcje szkieletu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podstawowe funkcje szkieletu (ochrona i część układu ruchu)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położenie czaszki, kręgosłupa, klatki piersiowej i kończyn w swoim ciele lub na modelu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udział szkieletu w krwiotworzeniu i magazynowaniu wapnia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szkielet osiowy i kończyn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budowy tkanki chrzęstnej i kostnej z pełnionymi funkcjami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poszczególne kości kończyn i obręczy oraz odcinki kręgosłupa w swoim ciele lub na modelu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kości mózgoczaszki i trzewioczaszki w swoim ciele lub na modelu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między budową kręgosłupa, a jego funkcjami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5. Związek budowy kości z pełnioną funkcją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 sprzyjające prawidłowemu stanowi kości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elementów budowy fizycznej kości z jej funkcjami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kości o różnych kształtach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wykazuje znaczenie tkanki kostnej zbitej i gąbczastej </w:t>
            </w:r>
            <w:r w:rsidRPr="00AD60DC">
              <w:rPr>
                <w:rFonts w:asciiTheme="minorHAnsi" w:hAnsiTheme="minorHAnsi"/>
              </w:rPr>
              <w:lastRenderedPageBreak/>
              <w:t>w funkcjonowaniu kości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wyjaśnia związek między budową chemiczną kości a jej właściwościami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wyjaśnia efekty doświadczenia z wypaleniem kości i jej moczeniem w kwasie, odwołując się do </w:t>
            </w:r>
            <w:r w:rsidRPr="00AD60DC">
              <w:rPr>
                <w:rFonts w:asciiTheme="minorHAnsi" w:hAnsiTheme="minorHAnsi"/>
              </w:rPr>
              <w:lastRenderedPageBreak/>
              <w:t>budowy chemicznej kości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6. Stawy i inne połączenia kości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połączeń kości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przykłady połączeń kości na planszy i na własnym organizmie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nazwy elementów budujących staw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chrząstki w stawie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stawy zawiasowy i kulisty oraz podaje różnice w ich funkcjonowaniu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charakteryzuje cechy tkanki chrzęstnej jako tkanki współtworzącej szkielet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7. Mięśnie, ich rola i współdziałanie w układzie ruchu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układu mięśniowego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przykłady narządów zbudowanych z tkanki mięśniowej gładkiej, sercowej i szkieletowej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na modelu i schemacie tkankę mięśniową gładką, sercową i szkieletową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budowę i sposób funkcjonowania tkanki mięśniowej gładkiej, sercowej i szkieletowej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 niezbędne do powstania skurczu mięśnia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współdziałanie mięśni i szkieletu podczas ruchu (na przykładzie ruchu kończyny górnej lub dolnej)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antagonistyczne działanie mięśni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8. Aktywność fizyczna a zdrowie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negatywny wpływ środków dopingujących na zdrowie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sposoby zapobiegania wadom postawy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pozytywny wpływ ćwiczeń fizycznych na organizm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wady postawy i podaje możliwe przyczyny ich powstawania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znaczenie aktywności fizycznej w prawidłowym funkcjonowaniu układu ruchu i utrzymaniu zdrowia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ocenia etyczne aspekty stosowania dopingu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schorzeń układu ruchu oraz zasady profilaktyki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racjonalnej aktywności ruchowej w utrzymaniu zdrowia i sprawności fizycznej przez całe życie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9.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1–8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DZIAŁ 2. UKŁAD POKARMOWY I ODŻYWIANIE SIĘ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10. Budowa </w:t>
            </w:r>
            <w:r w:rsidRPr="00AD60DC">
              <w:rPr>
                <w:rFonts w:asciiTheme="minorHAnsi" w:hAnsiTheme="minorHAnsi"/>
              </w:rPr>
              <w:br/>
              <w:t>i funkcje układu pokarmowego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definiuje trawienie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w kolejności narządy układu pokarmowego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poszczególnych części układu pokarmowego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lokalizuje narządy układu pokarmowego na modelu, schemacie, rysunku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poszczególnych rodzajów zębów, z uwzględnieniem ich kształtu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związek budowy narządów układu pokarmowego z ich funkcją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związek budowy przewodu pokarmowego z perystaltyką i jej udziałem we właściwym funkcjonowaniu układu pokarmowego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11. Składniki </w:t>
            </w:r>
            <w:r w:rsidRPr="00AD60DC">
              <w:rPr>
                <w:rFonts w:asciiTheme="minorHAnsi" w:hAnsiTheme="minorHAnsi"/>
              </w:rPr>
              <w:br/>
              <w:t>odżywcze, ich rola i źródła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podstawowe grupy składników pokarmowych i ogólnie nakreśla ich rolę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źródła składników pokarmowych: białek, tłuszczów i cukrów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przeprowadza doświadczenie, w którym wykrywa obecność skrobi w różnych produktach spożywczych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źródła aminokwasów i określa ich rolę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znaczenie składników pokarmowych w prawidłowym rozwoju i funkcjonowaniu organizmu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doświadczenie, w którym wykrywa obecność skrobi w różnych produktach spożywczych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12. Witaminy i składniki mineralne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źródła wybranych witamin (A, D, K, C, B</w:t>
            </w:r>
            <w:r w:rsidRPr="00AD60DC">
              <w:rPr>
                <w:rStyle w:val="Indeksdolny"/>
                <w:rFonts w:asciiTheme="minorHAnsi" w:hAnsiTheme="minorHAnsi"/>
              </w:rPr>
              <w:t>6</w:t>
            </w:r>
            <w:r w:rsidRPr="00AD60DC">
              <w:rPr>
                <w:rFonts w:asciiTheme="minorHAnsi" w:hAnsiTheme="minorHAnsi"/>
              </w:rPr>
              <w:t>, B</w:t>
            </w:r>
            <w:r w:rsidRPr="00AD60DC">
              <w:rPr>
                <w:rStyle w:val="Indeksdolny"/>
                <w:rFonts w:asciiTheme="minorHAnsi" w:hAnsiTheme="minorHAnsi"/>
              </w:rPr>
              <w:t>12</w:t>
            </w:r>
            <w:r w:rsidRPr="00AD60DC">
              <w:rPr>
                <w:rFonts w:asciiTheme="minorHAnsi" w:hAnsiTheme="minorHAnsi"/>
              </w:rPr>
              <w:t>) i składników mineralnych (Mg, Fe, Ca)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wody, soli mineralnych i witamin w organizmie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rolę i efekty niedoboru wybranych witamin (A, D, K, C, B</w:t>
            </w:r>
            <w:r w:rsidRPr="00AD60DC">
              <w:rPr>
                <w:rStyle w:val="Indeksdolny"/>
                <w:rFonts w:asciiTheme="minorHAnsi" w:hAnsiTheme="minorHAnsi"/>
              </w:rPr>
              <w:t>6</w:t>
            </w:r>
            <w:r w:rsidRPr="00AD60DC">
              <w:rPr>
                <w:rFonts w:asciiTheme="minorHAnsi" w:hAnsiTheme="minorHAnsi"/>
              </w:rPr>
              <w:t>, B</w:t>
            </w:r>
            <w:r w:rsidRPr="00AD60DC">
              <w:rPr>
                <w:rStyle w:val="Indeksdolny"/>
                <w:rFonts w:asciiTheme="minorHAnsi" w:hAnsiTheme="minorHAnsi"/>
              </w:rPr>
              <w:t>12</w:t>
            </w:r>
            <w:r w:rsidRPr="00AD60DC">
              <w:rPr>
                <w:rFonts w:asciiTheme="minorHAnsi" w:hAnsiTheme="minorHAnsi"/>
              </w:rPr>
              <w:t>) i składników mineralnych (Mg, Fe, Ca)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spożywania owoców i warzyw jako źródła witamin i składników mineralnych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woda jest ważnym uzupełnieniem pokarmu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skutki niewłaściwej suplementacji witamin i składników mineralnych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13. Trawienie pokarmów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rolę enzymów w procesie trawienia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miejsce trawienia białek, tłuszczów i cukrów w układzie pokarmowym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przeprowadza doświadczenie badające wpływ substancji zawartych w ślinie na skrobię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produkty trawienia i miejsca wchłaniania głównych grup związków organicznych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rolę wątroby i trzustki w trawieniu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doświadczenie badające wpływ substancji zawartych w ślinie na skrobię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14. Potrzeby pokarmowe ludzi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czynniki, które wpływają na potrzeby pokarmowe ludzi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czytania informacji umieszczonych na opakowaniach produktów spożywczych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związek między wartością energetyczną pokarmu a potrzebami energetycznymi człowieka, w zależności od płci, wieku, trybu życia, zdrowia i aktywności fizycznej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na podstawie etykiet zawartość składników odżywczych w wybranych produktach spożywczych (płatkach kukurydzianych, serze białym, maśle) i oblicza wartość energetyczną tych produktów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zawartość chemicznych dodatków do żywności w wybranych artykułach spożywczych (gumie do żucia, galaretce, zupie w proszku)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wady i zalety stosowania chemicznych dodatków do żywności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15. Zasady </w:t>
            </w:r>
            <w:r w:rsidRPr="00AD60DC">
              <w:rPr>
                <w:rFonts w:asciiTheme="minorHAnsi" w:hAnsiTheme="minorHAnsi"/>
              </w:rPr>
              <w:br/>
              <w:t xml:space="preserve">prawidłowego </w:t>
            </w:r>
            <w:r w:rsidRPr="00AD60DC">
              <w:rPr>
                <w:rFonts w:asciiTheme="minorHAnsi" w:hAnsiTheme="minorHAnsi"/>
              </w:rPr>
              <w:br/>
              <w:t>żywienia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korzyści płynące z prawidłowego odżywiania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oblicza indeks masy ciała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interpretuje dane zawarte w piramidzie zdrowego żywienia i aktywności fizycznej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należy stosować dietę zróżnicowaną pod względem składników pokarmowych i dostosowaną do potrzeb organizmu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znaczenie błonnika jako ważnego składnika pokarmów w prawidłowym ruchu jelita i przesuwaniu trawionego pokarmu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konstruuje, na podstawie swego sposobu odżywiania, własną piramidę zdrowego żywienia i porównuje ją z piramidą wzorcową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16. Skutki </w:t>
            </w:r>
            <w:r w:rsidRPr="00AD60DC">
              <w:rPr>
                <w:rFonts w:asciiTheme="minorHAnsi" w:hAnsiTheme="minorHAnsi"/>
              </w:rPr>
              <w:lastRenderedPageBreak/>
              <w:t>niewłaściwego odżywiania się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ma świadomość wpływu </w:t>
            </w:r>
            <w:r w:rsidRPr="00AD60DC">
              <w:rPr>
                <w:rFonts w:asciiTheme="minorHAnsi" w:hAnsiTheme="minorHAnsi"/>
              </w:rPr>
              <w:lastRenderedPageBreak/>
              <w:t>ilości i jakości spożywanych posiłków na zdrowie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konsekwencje zdrowotne niewłaściwego odżywiania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określa przyczyny </w:t>
            </w:r>
            <w:r w:rsidRPr="00AD60DC">
              <w:rPr>
                <w:rFonts w:asciiTheme="minorHAnsi" w:hAnsiTheme="minorHAnsi"/>
              </w:rPr>
              <w:lastRenderedPageBreak/>
              <w:t>i skutki przejadania się (i otyłości) oraz nadmiernego odchudzania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podaje przyczyny, </w:t>
            </w:r>
            <w:r w:rsidRPr="00AD60DC">
              <w:rPr>
                <w:rFonts w:asciiTheme="minorHAnsi" w:hAnsiTheme="minorHAnsi"/>
              </w:rPr>
              <w:lastRenderedPageBreak/>
              <w:t>objawy i skutki uboczne cukrzycy typu II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przyczyny </w:t>
            </w:r>
            <w:r w:rsidRPr="00AD60DC">
              <w:rPr>
                <w:rFonts w:asciiTheme="minorHAnsi" w:hAnsiTheme="minorHAnsi"/>
              </w:rPr>
              <w:lastRenderedPageBreak/>
              <w:t>i skutki zdrowotne anoreksji i bulimii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społeczne </w:t>
            </w:r>
            <w:r w:rsidRPr="00AD60DC">
              <w:rPr>
                <w:rFonts w:asciiTheme="minorHAnsi" w:hAnsiTheme="minorHAnsi"/>
              </w:rPr>
              <w:lastRenderedPageBreak/>
              <w:t>skutki chorób związanych z niewłaściwym odżywianiem się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17. Choroby układu pokarmowego oraz zasady ich profilaktyki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zachowania higieny jamy ustnej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argumentuje stwierdzenie, że należy przestrzegać zasad higieny podczas przygotowywania i spożywania posiłków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okresowego wykonywania przeglądu stanu uzębienia u stomatologa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układu pokarmowego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zasady profilaktyki chorób WZW A, B, C, choroby wrzodowej żołądka i dwunastnicy, zakażeń i zatruć pokarmowych, raka jelita grubego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konsekwencje zdrowotne nieprzestrzegania zasad higieny podczas przygotowywania i spożywania posiłków (również właściwego przechowywania pokarmów)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podłoże chorób WZW A, B, C, choroby wrzodowej żołądka i dwunastnicy, zakażeń i zatruć pokarmowych, raka jelita grubego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18.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wszystkie wymagania z lekcji 10–17 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3. UKŁAD KRĄŻENIA. UKŁAD ODPORNOŚCIOWY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19. Krew i jej funkcje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składniki krwi (osocze, krwinki)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wskazuje niebezpieczeństwo </w:t>
            </w:r>
            <w:r w:rsidRPr="00AD60DC">
              <w:rPr>
                <w:rFonts w:asciiTheme="minorHAnsi" w:hAnsiTheme="minorHAnsi"/>
              </w:rPr>
              <w:lastRenderedPageBreak/>
              <w:t>związane z obecnością czadu we wdychanym powietrzu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wymienia funkcje krwi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grupy krwi układu AB0 i Rh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określa rolę osocza krwi, erytrocytów, leukocytów </w:t>
            </w:r>
            <w:r w:rsidRPr="00AD60DC">
              <w:rPr>
                <w:rFonts w:asciiTheme="minorHAnsi" w:hAnsiTheme="minorHAnsi"/>
              </w:rPr>
              <w:lastRenderedPageBreak/>
              <w:t>i trombocytów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przebieg powstawania skrzepu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wskazuje, jaką grupę krwi układu AB0 można </w:t>
            </w:r>
            <w:r w:rsidRPr="00AD60DC">
              <w:rPr>
                <w:rFonts w:asciiTheme="minorHAnsi" w:hAnsiTheme="minorHAnsi"/>
              </w:rPr>
              <w:lastRenderedPageBreak/>
              <w:t>przetaczać biorcom z określoną grupą krwi tego układu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wykazuje związek budowy i właściwości składników krwi z pełnionymi funkcjami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20. Budowa i funkcje układu krwionośnego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budowę układu krwionośnego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główne funkcje układu krwionośnego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rozpoznaje elementy budowy układu krążenia (na modelu / schemacie) ze wskazaniem kierunku przepływu krwi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obiegu płucnego i obwodowego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różnice w budowie i funkcji naczyń krwionośnych (żył, tętnic i naczyń włosowatych)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związek między budową a funkcją poszczególnych naczyń krwionośnych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analizuje krążenie krwi w obiegu płucnym (małym) i obwodowym (dużym) 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21. Serce i jego praca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serce i określa jego położenie w ciele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wpływ różnych czynników na pracę serca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budowy serca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badania wykonywane w diagnostyce chorób serca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właściwości tkanki mięśniowej budującej serce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elementy budowy serca: przedsionki, komory, zastawki, naczynia wieńcowe, z uwzględnieniem ich roli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wyjaśnia, co to jest puls i ciśnienie krwi, z przedstawieniem sposobu ich badania </w:t>
            </w:r>
            <w:r w:rsidRPr="00AD60DC">
              <w:rPr>
                <w:rFonts w:asciiTheme="minorHAnsi" w:hAnsiTheme="minorHAnsi"/>
              </w:rPr>
              <w:lastRenderedPageBreak/>
              <w:t>w praktyce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etapy pracy serca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związek pracy serca z tętnem i ciśnieniem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zależność między pracą serca a wysiłkiem fizycznym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22. Wpływ aktywności fizycznej na układ krążenia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formułuje problem badawczy i hipotezę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warunki doświadczenia, próbę badawczą i kontrolną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wykonuje pomiar tętna i ciśnienia krwi w czasie spoczynku i wysiłku fizycznego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rejestruje wyniki doświadczenia stosownie do przeprowadzonych pomiarów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wnioskuje na podstawie wyników doświadczenia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wyniki doświadczenia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dokumentuje etapy doświadczenia badającego wpływ wysiłku fizycznego na zmiany tętna i ciśnienia tętniczego krwi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doświadczenie określające wpływ wysiłku fizycznego na zmiany tętna i ciśnienia tętniczego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aktywności fizycznej i prawidłowej diety na właściwe funkcjonowanie układu krwionośnego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23. Higiena układu</w:t>
            </w:r>
            <w:r w:rsidRPr="00AD60DC">
              <w:rPr>
                <w:rFonts w:asciiTheme="minorHAnsi" w:hAnsiTheme="minorHAnsi"/>
              </w:rPr>
              <w:br/>
              <w:t>krwionośnego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krwi (anemia, białaczka) i układu krwionośnego (miażdżyca, nadciśnienie tętnicze, zawał serca)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przyczyny chorób krwi, serca i 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wartości prawidłowego ciśnienia krwi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zasady profilaktyki chorób krwi, serca i 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znaczenie aktywności fizycznej i prawidłowej diety we właściwym funkcjonowaniu 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wskazuje czynniki zwiększające i zmniejszające ryzyko zachorowania na </w:t>
            </w:r>
            <w:r w:rsidRPr="00AD60DC">
              <w:rPr>
                <w:rFonts w:asciiTheme="minorHAnsi" w:hAnsiTheme="minorHAnsi"/>
              </w:rPr>
              <w:lastRenderedPageBreak/>
              <w:t>choroby serca i układu krążenia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przyczyny nadciśnienia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 dochodzi do zawału serca i udaru mózgu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okresowego wykonywania podstawowych badań kontrolnych krwi, pomiaru tętna i ciśnienia krwi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etapy powstawania blaszek miażdżycowych w tętnicy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związek między właściwym odżywianiem się, aktywnością fizyczną, a zwiększonym ryzykiem rozwoju chorób układu krwionośnego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24. Budowa układu odpornościowego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układ limfatyczny jako część 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narządy należące do układu limfatycznego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powiązania krwi, limfy i płynu tkankowego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narządy układu limfatycznego na schemacie, rysunku, modelu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budowę i funkcje narządów układu limfatycznego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skład oraz funkcje limfy i płynu tkankowego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skład oraz funkcje limfy i płynu tkankowego ze składem i funkcją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związek między układem limfatycznym i odpornościowym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25. Odporność organizmu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odporność organizmu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antygen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odporność wrodzoną i nabytą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odporności wrodzonej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naturalne mechanizmy odporności nabytej – biernej i czynnej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funkcje elementów układu odpornościowego (narządów: śledziony, grasicy, węzłów chłonnych; komórek: makrofagów, limfocytów T i B; cząsteczek: przeciwciał)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mechanizmów odporności skierowanej przeciwko konkretnemu antygenowi oraz przykłady mechanizmów, które działają ogólnie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26. Zastosowanie wiedzy o odporności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przykłady szczepień obowiązkowych i nieobowiązkowych oraz ocenia ich </w:t>
            </w:r>
            <w:r w:rsidRPr="00AD60DC">
              <w:rPr>
                <w:rFonts w:asciiTheme="minorHAnsi" w:hAnsiTheme="minorHAnsi"/>
              </w:rPr>
              <w:lastRenderedPageBreak/>
              <w:t>znaczenie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narządy, które można przeszczepić człowiekowi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rozróżnia odporność naturalną i sztuczną, bierną i czynną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przedstawia znaczenie przeszczepów, w tym </w:t>
            </w:r>
            <w:r w:rsidRPr="00AD60DC">
              <w:rPr>
                <w:rFonts w:asciiTheme="minorHAnsi" w:hAnsiTheme="minorHAnsi"/>
              </w:rPr>
              <w:lastRenderedPageBreak/>
              <w:t xml:space="preserve">rodzinnych, w utrzymaniu życia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konflikt serologiczny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wyjaśnia, na czym polega zgodność tkankowa organizmu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uzasadnia potrzebę pozyskiwania narządów </w:t>
            </w:r>
            <w:r w:rsidRPr="00AD60DC">
              <w:rPr>
                <w:rFonts w:asciiTheme="minorHAnsi" w:hAnsiTheme="minorHAnsi"/>
              </w:rPr>
              <w:lastRenderedPageBreak/>
              <w:t>do transplantacji oraz deklaracji zgody na transplantację narządów po śmierci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wyjaśnia, na czym polega konflikt serologiczny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transplantacja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niektóre przeszczepy są odrzucane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27. Zaburzenia funkcjonowania odporności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zasady profilaktyki przeciwko zakażeniom HIV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drogi zakażenia HIV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najczęstszych alergenów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wpływ HIV na osłabienie układu odpornościowego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podłoże alergii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28. Podsumowanie 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19–27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4. UKŁAD ODDECHOWY. UKŁAD WYDALNICZY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29. Budowa i funkcje układu oddechowego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znaczenie oddychania dla funkcjonowania organizmu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rozpoznaje części układu oddechowego na modelu / schemacie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odróżnia oddychanie komórkowe od wymiany gazowej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wyróżnia substraty i produkty oddychania komórkowego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funkcje narządów układu oddechowego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istotę oddychania komórkowego oraz wymiany gazowej zewnętrznej i wewnętrznej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funkcje krtani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klatki piersiowej, mięśni oddechowych i przepony w wentylacji płuc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związek budowy z pełnioną funkcją poszczególnych części układu oddechowego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mechanizm wentylacji płuc (wdech i wydech)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budowę i funkcjonowanie układu oddechowego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30. Wymiana gazowa</w:t>
            </w:r>
          </w:p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 płucach i tkankach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różnice w składzie powietrza wdychanego i wydychanego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 wpływające na tempo oddychania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zasady projektowania doświadczeń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rolę krwi w transporcie gazów oddechowych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niezbędność próby kontrolnej w doświadczeniu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formułuje problem badawczy i hipotezę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przebieg wymiany gazowej w płucach i tkankach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wyniki badań i formułuje wnioski z doświadczeń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przeprowadza doświadczenie / obserwację zgodnie z instrukcją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obserwację wpływu wysiłku fizycznego na zmiany częstości oddechu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planuje doświadczenie, w którym wykazuje obecność dwutlenku węgla i pary wodnej w wydychanym powietrzu 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31. Choroby</w:t>
            </w:r>
          </w:p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i higiena układu</w:t>
            </w:r>
            <w:r w:rsidRPr="00AD60DC">
              <w:rPr>
                <w:rFonts w:asciiTheme="minorHAnsi" w:hAnsiTheme="minorHAnsi"/>
              </w:rPr>
              <w:br/>
              <w:t>oddechowego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szkodliwe czynniki wpływające na stan i funkcjonowanie układu oddechowego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układu oddechowego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okresowych badań kontrolnych płuc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przyczyny zachorowań na gruźlicę płuc, anginę i raka płuc ze wskazaniem na stosowaną profilaktykę w tym zakresie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palenia tytoniu (bierne i czynne) na stan i funkcjonowanie układu oddechowego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zagrożenia życia, jakie niesie wdychanie substancji szkodliwych zawartych w dymie z papierosa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zanieczyszczeń pyłowych powietrza na stan i funkcjonowanie układu oddechowego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czynników szkodliwych na funkcjonowanie układu oddechowego z uwzględnieniem zasad profilaktyki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32. Budowa i funkcje </w:t>
            </w:r>
          </w:p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układu wydalniczego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układu wydalniczego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narządy układu wydalniczego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substancje usuwane z organizmu człowieka i wskazuje drogi ich usuwania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budowę i rolę nerek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bilans wodny organizmu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znaczenie równowagi wodnej dla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podaje, jakie są źródła substancji usuwanych z organizmu człowieka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33. Choroby układu wydalniczego i ich profilaktyka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celowość okresowych badań moczu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zasady higieny układu wydalniczego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skład moczu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objawy zakażenia dróg moczowych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chorób, które można zdiagnozować na podstawie składu moczu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przyczyny i skutki kamicy nerkowej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dializa krwi i kiedy się ją stosuje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34. Posumowanie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29–33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5. UKŁAD NERWOWY I NARZĄDY ZMYSŁÓW. UKŁAD DOKREWNY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35. Budowa i funkcje układu nerwowego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tworzące ośrodkowy układ nerwowy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określa rolę autonomicznego układu nerwowego w organizmie 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ośrodkowego i obwodowego układu nerwowego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ośrodkowego i obwodowego układu nerwowego, np. na modelu, rysunku, według opisu i podaje ich nazwy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związek budowy neuronu z pełnioną funkcją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przebieg impulsu nerwowego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funkcje współczulnego i przywspółczulnego układu nerwowego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neuronów w przyjmowaniu i przewodzeniu impulsów nerwowych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przystosowania neuronów do pełnienia funkcji w układzie nerwowym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36. Czynności ośrodkowego układu nerwowego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ośrodkowego układu nerwowego i podaje ich funkcje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zasady higieny pracy umysłowej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funkcje głównych części mózgowia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jaką funkcję pełni rdzeń kręgowy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co to jest kora mózgowa i jakie jest jej znaczenie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funkcje móżdżku i rdzenia przedłużonego w organizmie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lokalizuje ośrodki korowe na rysunku / modelu mózgu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są wyższe czynności nerwowe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37. Odruchy bezwarunkowe i warunkowe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składowe łuku odruchowego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co to jest odruch bezwarunkowy i podaje przykłady takich odruchów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dokonuje obserwacji odruchu kolanowego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odruchy warunkowe i bezwarunkowe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  <w:spacing w:val="-4"/>
              </w:rPr>
            </w:pPr>
            <w:r w:rsidRPr="00AD60DC">
              <w:rPr>
                <w:rFonts w:asciiTheme="minorHAnsi" w:hAnsiTheme="minorHAnsi"/>
                <w:spacing w:val="-4"/>
              </w:rPr>
              <w:t>podaje przykłady odruchów bezwarunkowych i warunkowych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dostrzega istotne znaczenie odruchów w życiu codziennym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działanie łuku odruchowego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  <w:spacing w:val="-2"/>
              </w:rPr>
            </w:pPr>
            <w:r w:rsidRPr="00AD60DC">
              <w:rPr>
                <w:rFonts w:asciiTheme="minorHAnsi" w:hAnsiTheme="minorHAnsi"/>
                <w:spacing w:val="-2"/>
              </w:rPr>
              <w:t>wyjaśnia, jak powstają i jaka jest rola odruchów warunkowych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dlaczego odruch kolanowy jest odruchem bezwarunkowym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znaczenie wybranych odruchów (czkawka, połykanie, odruch wymiotny, źreniczny, mruganie powiekami, łzawienie, odruch ślinienia się) w życiu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znaczenie odruchów w codziennym życiu człowieka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38. Higiena układu nerwowego. Radzenie sobie ze stresem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ochrony głowy przed urazami ze względu na możliwość uszkodzenia mózgu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wpływu, jaki ma wysypianie się na procesy myślenia i zapamiętywania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zasady efektywnego uczenia się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korzystne dla zdrowia sposoby radzenia sobie z długotrwałym (negatywnym) stresem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przyczyny i skutki stresu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skutecznych metod uczenia się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pozytywnego i negatywnego działania stresu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znaczenie snu w prawidłowym funkcjonowaniu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skuteczne metody uczenia się oparte na wykorzystywaniu wszystkich zmysłów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39. Oko – narząd wzroku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wyróżnia rodzaje zmysłów z określeniem ich roli w życiu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rozpoznaje elementy budowy oka na modelu / </w:t>
            </w:r>
            <w:r w:rsidRPr="00AD60DC">
              <w:rPr>
                <w:rFonts w:asciiTheme="minorHAnsi" w:hAnsiTheme="minorHAnsi"/>
              </w:rPr>
              <w:lastRenderedPageBreak/>
              <w:t>schemacie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dokonuje obserwacji wykazującej obecność tarczy nerwu wzrokowego na siatkówce oka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wyjaśnia, co to są zmysły, komórki zmysłowe, receptory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lokalizuje receptory i narządy zmysłów </w:t>
            </w:r>
            <w:r w:rsidRPr="00AD60DC">
              <w:rPr>
                <w:rFonts w:asciiTheme="minorHAnsi" w:hAnsiTheme="minorHAnsi"/>
              </w:rPr>
              <w:lastRenderedPageBreak/>
              <w:t>w organizmie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elementów budowy oka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przedstawia funkcje elementów budowy oka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budowę oka i rolę jego części w procesie widzenia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w jaki sposób i jaki obraz obiektu powstaje na siatkówce oka oraz jego interpretację w mózgu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40. Funkcjonowanie oka. Wady wzroku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wyróżnia wady wzroku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wykonywania okresowych badań kontrolnych wzroku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różnicę między widzeniem z bliska i z daleka oraz w ciemności i przy świetle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zasady higieny narządu wzroku podczas czytania oraz pracy z komputerem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terminy:</w:t>
            </w:r>
            <w:r w:rsidRPr="00AD60DC">
              <w:rPr>
                <w:rFonts w:asciiTheme="minorHAnsi" w:hAnsiTheme="minorHAnsi"/>
              </w:rPr>
              <w:br/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akomodacja</w:t>
            </w:r>
            <w:r w:rsidRPr="00AD60DC">
              <w:rPr>
                <w:rFonts w:asciiTheme="minorHAnsi" w:hAnsiTheme="minorHAnsi"/>
              </w:rPr>
              <w:t xml:space="preserve">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oka</w:t>
            </w:r>
            <w:r w:rsidRPr="00AD60DC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krótkowzroczność</w:t>
            </w:r>
            <w:r w:rsidRPr="00AD60DC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dalekowzroczność</w:t>
            </w:r>
            <w:r w:rsidRPr="00AD60DC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astygmatyzm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określa najczęstsze przyczyny powstawania wad wzroku (krótkowzroczność, dalekowzroczność, astygmatyzm) i sposoby ich korygowania za pomocą soczewek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funkcjonowanie oka oraz wady wzroku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41. Ucho – narząd słuchu i równowagi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budowy ucha na modelu / schemacie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higieny narządu słuchu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funkcje elementów ucha w odbieraniu bodźców dźwiękowych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negatywny wpływ hałasu na zdrowie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przebieg fali dźwiękowej w uchu i powstawanie wrażeń słuchowych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budowę oraz rolę ucha wewnętrznego jako narządu słuchu i równowagi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budowy ucha z pełnioną funkcją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42. Inne zmysły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znaczenie ostrzegawczej roli zmysłów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lokalizację narządów i receptorów zmysłu węchu, smaku i dotyku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przedstawia rolę zmysłu dotyku, zmysłu smaku i zmysłu węchu w życiu człowieka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bada wrażliwość zmysłu smaku i węchu na podstawie instrukcji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zagrożenia wynikające ze zjawiska adaptacji węchu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interpretuje wyniki doświadczeń badających wrażliwość wybranych komórek zmysłowych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wyjaśnia rolę narządów zmysłów w odbieraniu bodźców z otoczenia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doświadczenia lokalizujące receptory zmysłu węchu i smaku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43. Budowa i funkcje układu dokrewnego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definiuje pojęcie hormonu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rolę hormonów: wzrostu, insuliny i adrenaliny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położenie gruczołów dokrewnych w ciele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rolę tyroksyny i glukagonu oraz hormonów płciowych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hormony działają tylko na określone narządy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podobieństwa i różnice między działaniem układu hormonalnego i układu nerwowego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44. Działanie </w:t>
            </w:r>
            <w:r w:rsidRPr="00AD60DC">
              <w:rPr>
                <w:rFonts w:asciiTheme="minorHAnsi" w:hAnsiTheme="minorHAnsi"/>
              </w:rPr>
              <w:br/>
              <w:t>hormonów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konsultowania z lekarzem przyjmowania środków hormonalnych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przyczyny i objawy cukrzycy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antagonizm działania insuliny i glukagonu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wynikających z nieprawidłowego działania tarczycy i przysadki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nadrzędną rolę przysadki w układzie dokrewnym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45.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35–44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6. UKŁAD ROZRODCZY. ROZMNAŻANIE SIĘ I ROZWÓJ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46. Budowa i funkcje męskiego układu rozrodczego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układu rozrodczego męskiego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zmiany anatomiczne i fizjologiczne zachodzące w organizmie chłopca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układu rozrodczego męskiego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rozmnażanie płciowe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typowe zachowania chłopca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rysunku elementy układu rozrodczego męskiego i podaje ich nazwy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funkcje elementów układu rozrodczego męskiego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jąder, najądrzy, pęcherzyków nasiennych i prostaty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jaka jest rola hormonów, w tym testosteronu, w okresie dojrzewania chłopców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wskazuje miejsce powstawania plemników w układzie rozrodczym męskim i opisuje ich dalszą drogę do momentu wytrysku 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wykazuje związek budowy męskiego układu rozrodczego z jego funkcją 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47. Budowa i funkcje żeńskiego układu rozrodczego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zmiany anatomiczne i fizjologiczne zachodzące w organizmie dziewczyny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wymienia elementy </w:t>
            </w:r>
            <w:r w:rsidRPr="00AD60DC">
              <w:rPr>
                <w:rFonts w:asciiTheme="minorHAnsi" w:hAnsiTheme="minorHAnsi"/>
              </w:rPr>
              <w:lastRenderedPageBreak/>
              <w:t>układu rozrodczego żeńskiego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typowe zachowania dziewczyny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rysunku / modelu elementy układu rozrodczego żeńskiego i podaje ich nazwy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funkcjonowanie układu rozrodczego kobiety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rolę poszczególnych elementów układu rozrodczego żeńskiego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jajeczkowanie (owulacja)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jaka jest rola hormonów, w tym estrogenów, w okresie dojrzewania dziewcząt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w jaki sposób budowa układu rozrodczego żeńskiego jest przystosowana do pełnionych funkcji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48. Cykl miesiączkowy kobiety. Zapłodnienie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nazwy gamety męskiej i żeńskiej oraz wskazuje miejsce ich wytwarzania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zapłodnienie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możliwy efekt stosunku płciowego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objawy ciąży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budowę plemnika z komórką jajową jako przystosowanie do pełnionej funkcji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definiuje termin jajeczkowania (owulacji)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rolę gamet w procesie zapłodnienia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zapłodnienie może być efektem stosunku płciowego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miejsce, w którym dochodzi do zapłodnienia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etapy cyklu miesiączkowego kobiety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hormonów związanych z cyklem miesiączkowym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49. Rozwój zarodkowy i płodowy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zachowania ciężarnej kobiety mające pozytywny wpływ na rozwój zarodka i płodu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pozostawania kobiety ciężarnej pod opieką lekarską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etapy rozwoju przedurodzeniowego człowieka (zygota, zarodek, płód)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czynniki, które negatywnie wpływają na rozwój zarodka i płodu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łożyska dla rozwijającego się płodu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różnice między zygotą, zarodkiem i płodem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przebieg wczesnego etapu ciąży – od zapłodnienia do zagnieżdżenia się zarodka w macicy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50. Rozwój człowieka </w:t>
            </w:r>
            <w:r w:rsidRPr="00AD60DC">
              <w:rPr>
                <w:rFonts w:asciiTheme="minorHAnsi" w:hAnsiTheme="minorHAnsi"/>
              </w:rPr>
              <w:lastRenderedPageBreak/>
              <w:t>i potrzeby z nim związane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wymienia etapy życia człowieka po urodzeniu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charakteryzuje etapy życia człowieka po </w:t>
            </w:r>
            <w:r w:rsidRPr="00AD60DC">
              <w:rPr>
                <w:rFonts w:asciiTheme="minorHAnsi" w:hAnsiTheme="minorHAnsi"/>
              </w:rPr>
              <w:lastRenderedPageBreak/>
              <w:t>urodzeniu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potrzeby człowieka na różnych etapach rozwoju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przedstawia etapy fizycznego </w:t>
            </w:r>
            <w:r w:rsidRPr="00AD60DC">
              <w:rPr>
                <w:rFonts w:asciiTheme="minorHAnsi" w:hAnsiTheme="minorHAnsi"/>
              </w:rPr>
              <w:lastRenderedPageBreak/>
              <w:t>i psychicznego dojrzewania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wyjaśnia, na czym polega społeczne </w:t>
            </w:r>
            <w:r w:rsidRPr="00AD60DC">
              <w:rPr>
                <w:rFonts w:asciiTheme="minorHAnsi" w:hAnsiTheme="minorHAnsi"/>
              </w:rPr>
              <w:lastRenderedPageBreak/>
              <w:t>dojrzewanie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opisuje potrzeby i ograniczenia ludzi </w:t>
            </w:r>
            <w:r w:rsidRPr="00AD60DC">
              <w:rPr>
                <w:rFonts w:asciiTheme="minorHAnsi" w:hAnsiTheme="minorHAnsi"/>
              </w:rPr>
              <w:lastRenderedPageBreak/>
              <w:t>w różnych fazach rozwoju osobniczego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51. Choroby przenoszone drogą płciową. Profilaktyka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choroby przenoszone drogą płciową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w jaki sposób dochodzi do zakażenia chorobami przenoszonymi drogą płciową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charakterystyczne objawy chorób przenoszonych drogą płciową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podstawowe zasady profilaktyki chorób przenoszonych drogą płciową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w jaki sposób może dojść do zakażenia kiłą, rzeżączką, HIV, HPV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że seks z przypadkowymi osobami niesie ryzyko zakażenia chorobami przenoszonymi drogą płciową i powinien być zabezpieczony prezerwatywą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przewiduje indywidualne i społeczne skutki zakażenia HIV i HPV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52.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46–51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7. HOMEOSTAZA. ZDROWIE I CHOROBY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53. Współdziałanie układów narządów w utrzymaniu homeostazy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wykazuje, że w jego organizmie temperatura ciała i zawartość wody jest utrzymywana na stałym poziomie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czym jest homeostaza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reakcji organizmu na przegrzanie i przechłodzenie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uzasadnia konieczność utrzymywania stałych parametrów dla zachowania stabilności środowiska wewnętrznego </w:t>
            </w:r>
            <w:r w:rsidRPr="00AD60DC">
              <w:rPr>
                <w:rFonts w:asciiTheme="minorHAnsi" w:hAnsiTheme="minorHAnsi"/>
              </w:rPr>
              <w:lastRenderedPageBreak/>
              <w:t xml:space="preserve">organizmu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mechanizm regulacji stężenia glukozy we krwi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mechanizm regulacji stałej temperatury ciała organizmu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mechanizm regulacji zawartości </w:t>
            </w:r>
            <w:r w:rsidRPr="00AD60DC">
              <w:rPr>
                <w:rFonts w:asciiTheme="minorHAnsi" w:hAnsiTheme="minorHAnsi"/>
              </w:rPr>
              <w:lastRenderedPageBreak/>
              <w:t>wody w organizmie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wyjaśnia mechanizm sprzężenia zwrotnego, odwołując się do utrzymywania homeostazy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54. Choroby jako efekt zaburzenia homeostazy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podaje, na czym polega zdrowie fizyczne, psychiczne i społeczne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o różnym podłożu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rodzaje czynników zakaźnych i podaje przykłady wywoływanych przez nie chorób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najważniejsze badania diagnostyczne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typowy przebieg choroby zakaźnej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zabiegów niszczących drobnoustroje i wirusy w środowisku zewnętrznym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55. Drogi szerzenia się i profilaktyka chorób zakaźnych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najważniejsze zasady profilaktyki chorób zakaźnych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drogi szerzenia się chorób zakaźnych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dobre i złe strony stosowania antybiotyków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odzwierzęcych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dlaczego antybiotyki nie zwalczają chorób wirusowych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56. Choroby nowotworowe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nowotworowych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najważniejsze zasady profilaktyki chorób nowotworowych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czynniki sprzyjające rozwojowi nowotworów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ogólnie przebieg choroby nowotworowej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na czym polega istota chorób nowotworowych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sposoby leczenia chorób nowotworowych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na czym polega różnica między rakiem a nowotworem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57. Substancje psychoaktywne w życiu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skutki zdrowotne alkoholizmu, nikotynizmu, narkomanii i lekomanii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przedstawia negatywny wpływ na zdrowie człowieka (funkcjonowanie układu nerwowego) </w:t>
            </w:r>
            <w:r w:rsidRPr="00AD60DC">
              <w:rPr>
                <w:rFonts w:asciiTheme="minorHAnsi" w:hAnsiTheme="minorHAnsi"/>
              </w:rPr>
              <w:lastRenderedPageBreak/>
              <w:t>nadużywania kofeiny i niektórych leków (oddziałujących na psychikę)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e-papierosy mają negatywny wpływ na zdrowie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uzasadnia, dlaczego nie należy bez potrzeby zażywać leków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negatywne skutki alkoholizmu, </w:t>
            </w:r>
            <w:r w:rsidRPr="00AD60DC">
              <w:rPr>
                <w:rFonts w:asciiTheme="minorHAnsi" w:hAnsiTheme="minorHAnsi"/>
              </w:rPr>
              <w:lastRenderedPageBreak/>
              <w:t>nikotynizmu (w tym wdychania nikotyny zawartej w e-papierosach), narkomanii i lekomanii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podaje argumenty przeciw spożywaniu alkoholu, eksperymentowaniu z narkotykami, </w:t>
            </w:r>
            <w:r w:rsidRPr="00AD60DC">
              <w:rPr>
                <w:rFonts w:asciiTheme="minorHAnsi" w:hAnsiTheme="minorHAnsi"/>
              </w:rPr>
              <w:lastRenderedPageBreak/>
              <w:t>dopalaczami i substancjami psychoaktywnymi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analizuje indywidualne i społeczne skutki zażywania substancji psychoaktywnych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58.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53–57</w:t>
            </w:r>
          </w:p>
        </w:tc>
      </w:tr>
    </w:tbl>
    <w:p w:rsidR="006B3A1E" w:rsidRPr="00AD60DC" w:rsidRDefault="006B3A1E" w:rsidP="006B3A1E">
      <w:pPr>
        <w:pStyle w:val="001TekstpodstawowyNieuzywanefiz"/>
        <w:rPr>
          <w:rFonts w:asciiTheme="minorHAnsi" w:hAnsiTheme="minorHAnsi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38B" w:rsidRDefault="00E4638B" w:rsidP="00285D6F">
      <w:pPr>
        <w:spacing w:after="0" w:line="240" w:lineRule="auto"/>
      </w:pPr>
      <w:r>
        <w:separator/>
      </w:r>
    </w:p>
  </w:endnote>
  <w:endnote w:type="continuationSeparator" w:id="0">
    <w:p w:rsidR="00E4638B" w:rsidRDefault="00E4638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49E70E" wp14:editId="2631F9A6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28C33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="006B3A1E" w:rsidRPr="00565D2F">
      <w:t>Jastrzębska Ewa, Kłos Ewa, Kofta Wawrzyniec</w:t>
    </w:r>
    <w:r w:rsidR="006B3A1E">
      <w:t>,</w:t>
    </w:r>
    <w:r w:rsidR="006B3A1E" w:rsidRPr="00565D2F">
      <w:t xml:space="preserve"> Pyłka-Gutowska Ewa</w:t>
    </w:r>
  </w:p>
  <w:p w:rsidR="00EE01FE" w:rsidRDefault="00EE01FE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20FD89" wp14:editId="47AB7266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E95F3D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17507E10" wp14:editId="0600D879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t xml:space="preserve"> </w:t>
    </w:r>
    <w:r w:rsidR="0083577E">
      <w:rPr>
        <w:noProof/>
      </w:rPr>
      <w:t xml:space="preserve">           </w:t>
    </w:r>
    <w:r w:rsidR="0083577E">
      <w:rPr>
        <w:noProof/>
      </w:rPr>
      <w:drawing>
        <wp:inline distT="0" distB="0" distL="0" distR="0" wp14:anchorId="697D5752" wp14:editId="088BDBEE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6B3A1E">
      <w:rPr>
        <w:noProof/>
      </w:rPr>
      <w:t>2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38B" w:rsidRDefault="00E4638B" w:rsidP="00285D6F">
      <w:pPr>
        <w:spacing w:after="0" w:line="240" w:lineRule="auto"/>
      </w:pPr>
      <w:r>
        <w:separator/>
      </w:r>
    </w:p>
  </w:footnote>
  <w:footnote w:type="continuationSeparator" w:id="0">
    <w:p w:rsidR="00E4638B" w:rsidRDefault="00E4638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0B13E25" wp14:editId="7AA9D6F9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</w:rPr>
      <w:drawing>
        <wp:anchor distT="0" distB="0" distL="114300" distR="114300" simplePos="0" relativeHeight="251662336" behindDoc="1" locked="0" layoutInCell="1" allowOverlap="1" wp14:anchorId="60A8FDE0" wp14:editId="4E20581C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285D6F" w:rsidRDefault="006B3A1E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Biologia</w:t>
    </w:r>
    <w:r w:rsidR="00435B7E" w:rsidRPr="00435B7E">
      <w:rPr>
        <w:color w:val="F09120"/>
      </w:rPr>
      <w:t xml:space="preserve"> </w:t>
    </w:r>
    <w:r w:rsidR="00435B7E">
      <w:t>| Klasa</w:t>
    </w:r>
    <w:r>
      <w:t xml:space="preserve"> 7</w:t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92B22">
      <w:t xml:space="preserve">  </w:t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1E4CB0"/>
    <w:rsid w:val="001F0820"/>
    <w:rsid w:val="00245DA5"/>
    <w:rsid w:val="00285D6F"/>
    <w:rsid w:val="002F1910"/>
    <w:rsid w:val="00317434"/>
    <w:rsid w:val="00322E93"/>
    <w:rsid w:val="003572A4"/>
    <w:rsid w:val="003B19DC"/>
    <w:rsid w:val="00435B7E"/>
    <w:rsid w:val="004A1D10"/>
    <w:rsid w:val="00592B22"/>
    <w:rsid w:val="00602ABB"/>
    <w:rsid w:val="00672759"/>
    <w:rsid w:val="006B3A1E"/>
    <w:rsid w:val="006B5810"/>
    <w:rsid w:val="007B3CB5"/>
    <w:rsid w:val="007F03F4"/>
    <w:rsid w:val="0083577E"/>
    <w:rsid w:val="008648E0"/>
    <w:rsid w:val="0089186E"/>
    <w:rsid w:val="008C2636"/>
    <w:rsid w:val="009130E5"/>
    <w:rsid w:val="00914856"/>
    <w:rsid w:val="009E0F62"/>
    <w:rsid w:val="00A239DF"/>
    <w:rsid w:val="00A5798A"/>
    <w:rsid w:val="00AB49BA"/>
    <w:rsid w:val="00B63701"/>
    <w:rsid w:val="00C43DE5"/>
    <w:rsid w:val="00D22D55"/>
    <w:rsid w:val="00E4638B"/>
    <w:rsid w:val="00E94882"/>
    <w:rsid w:val="00EC12C2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894EB2-8C73-414E-97E3-D0564F78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3A1E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6B3A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6B3A1E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6B3A1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6B3A1E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6B3A1E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6B3A1E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kropatabele">
    <w:name w:val="tabela - tekst podstawowy kropa (tabele)"/>
    <w:basedOn w:val="Normalny"/>
    <w:uiPriority w:val="99"/>
    <w:rsid w:val="006B3A1E"/>
    <w:pPr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hAnsi="AgendaPl-RegularCondensed" w:cs="AgendaPl-RegularCondensed"/>
      <w:color w:val="000000"/>
      <w:w w:val="97"/>
      <w:sz w:val="20"/>
      <w:szCs w:val="20"/>
    </w:rPr>
  </w:style>
  <w:style w:type="paragraph" w:customStyle="1" w:styleId="tabelateksttabele">
    <w:name w:val="tabela tekst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sid w:val="006B3A1E"/>
    <w:rPr>
      <w:b/>
      <w:bCs/>
    </w:rPr>
  </w:style>
  <w:style w:type="character" w:customStyle="1" w:styleId="BoldCondensed">
    <w:name w:val="BoldCondensed"/>
    <w:uiPriority w:val="99"/>
    <w:rsid w:val="006B3A1E"/>
    <w:rPr>
      <w:b/>
      <w:bCs/>
    </w:rPr>
  </w:style>
  <w:style w:type="character" w:customStyle="1" w:styleId="boldasia">
    <w:name w:val="bold (asia)"/>
    <w:uiPriority w:val="99"/>
    <w:rsid w:val="006B3A1E"/>
    <w:rPr>
      <w:b/>
      <w:bCs/>
    </w:rPr>
  </w:style>
  <w:style w:type="character" w:customStyle="1" w:styleId="Indeksdolny">
    <w:name w:val="Indeks dolny"/>
    <w:uiPriority w:val="99"/>
    <w:rsid w:val="006B3A1E"/>
    <w:rPr>
      <w:position w:val="2"/>
      <w:sz w:val="22"/>
      <w:szCs w:val="22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A95C-FC00-4C72-858D-67CB265E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4188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Ewa Piątek</cp:lastModifiedBy>
  <cp:revision>2</cp:revision>
  <dcterms:created xsi:type="dcterms:W3CDTF">2023-10-06T06:27:00Z</dcterms:created>
  <dcterms:modified xsi:type="dcterms:W3CDTF">2023-10-06T06:27:00Z</dcterms:modified>
</cp:coreProperties>
</file>